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left="1080"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ar défaut"/>
        <w:spacing w:before="0" w:line="360" w:lineRule="auto"/>
        <w:ind w:left="1080"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spacing w:before="0" w:line="480" w:lineRule="auto"/>
        <w:ind w:left="1080"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180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Rappel de ce qu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est la biodiversit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et de son importance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cosyst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mes de ma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 mon pays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volution naturelle des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cosyst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mes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Les esp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ces end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miques de mon pays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Les facteurs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cologiques abiotiques de ma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gion/mon pays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Les facteurs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cologiques biotiques de ma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gion/mon pays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Les facteurs alimentaires dans ma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gion/mon pays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Un exemple de paysage/niche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cologique de mon pays</w:t>
      </w:r>
    </w:p>
    <w:p>
      <w:pPr>
        <w:pStyle w:val="Par défaut"/>
        <w:numPr>
          <w:ilvl w:val="3"/>
          <w:numId w:val="2"/>
        </w:numPr>
        <w:spacing w:before="0" w:line="66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Introduction aux enjeux et aux solutions pour la biodiversit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dans ma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 mon pays.</w:t>
      </w: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216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16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cessaire. </w:t>
      </w:r>
    </w:p>
    <w:p>
      <w:pPr>
        <w:pStyle w:val="Corps"/>
        <w:bidi w:val="0"/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  </w:t>
      </w: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1067114</wp:posOffset>
                </wp:positionH>
                <wp:positionV relativeFrom="line">
                  <wp:posOffset>299061</wp:posOffset>
                </wp:positionV>
                <wp:extent cx="6128306" cy="390076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306" cy="3900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4.0pt;margin-top:23.5pt;width:482.5pt;height:30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num" w:pos="540"/>
          <w:tab w:val="left" w:pos="72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2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num" w:pos="900"/>
        </w:tabs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674"/>
        </w:tabs>
        <w:ind w:left="30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374"/>
        </w:tabs>
        <w:ind w:left="37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074"/>
        </w:tabs>
        <w:ind w:left="44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4774"/>
        </w:tabs>
        <w:ind w:left="51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474"/>
        </w:tabs>
        <w:ind w:left="58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174"/>
        </w:tabs>
        <w:ind w:left="65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">
    <w:name w:val="Puce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